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rPr>
          <w:rFonts w:ascii="Cambria" w:hAnsi="Cambria"/>
          <w:b/>
          <w:b/>
          <w:szCs w:val="18"/>
        </w:rPr>
      </w:pPr>
      <w:r>
        <w:rPr>
          <w:rFonts w:ascii="Cambria" w:hAnsi="Cambria"/>
          <w:b/>
          <w:szCs w:val="18"/>
        </w:rPr>
        <w:t xml:space="preserve">Załącznik nr 4 </w:t>
      </w:r>
    </w:p>
    <w:p>
      <w:pPr>
        <w:pStyle w:val="Normal"/>
        <w:widowControl w:val="false"/>
        <w:spacing w:lineRule="auto" w:line="360" w:before="0" w:after="0"/>
        <w:rPr>
          <w:rFonts w:ascii="Cambria" w:hAnsi="Cambria" w:eastAsia="SimSun" w:cs="Mangal"/>
          <w:b/>
          <w:b/>
          <w:kern w:val="2"/>
          <w:sz w:val="16"/>
          <w:szCs w:val="16"/>
          <w:lang w:bidi="hi-IN"/>
        </w:rPr>
      </w:pPr>
      <w:r>
        <w:rPr>
          <w:rFonts w:eastAsia="SimSun" w:cs="Mangal" w:ascii="Cambria" w:hAnsi="Cambria"/>
          <w:b/>
          <w:kern w:val="2"/>
          <w:sz w:val="16"/>
          <w:szCs w:val="16"/>
          <w:lang w:bidi="hi-IN"/>
        </w:rPr>
      </w:r>
    </w:p>
    <w:p>
      <w:pPr>
        <w:pStyle w:val="Normal"/>
        <w:widowControl w:val="false"/>
        <w:spacing w:lineRule="auto" w:line="360" w:before="0" w:after="0"/>
        <w:rPr>
          <w:rFonts w:ascii="Cambria" w:hAnsi="Cambria" w:eastAsia="SimSun" w:cs="Mangal"/>
          <w:b/>
          <w:b/>
          <w:kern w:val="2"/>
          <w:sz w:val="16"/>
          <w:szCs w:val="16"/>
          <w:lang w:bidi="hi-IN"/>
        </w:rPr>
      </w:pPr>
      <w:r>
        <w:rPr>
          <w:rFonts w:eastAsia="SimSun" w:cs="Mangal" w:ascii="Cambria" w:hAnsi="Cambria"/>
          <w:b/>
          <w:kern w:val="2"/>
          <w:sz w:val="16"/>
          <w:szCs w:val="16"/>
          <w:lang w:bidi="hi-IN"/>
        </w:rPr>
        <w:t xml:space="preserve">SZCZEGÓŁOWE WARUNKI GWARANCJI  -  </w:t>
      </w:r>
    </w:p>
    <w:p>
      <w:pPr>
        <w:pStyle w:val="Normal"/>
        <w:widowControl w:val="false"/>
        <w:spacing w:lineRule="auto" w:line="360" w:before="0" w:after="0"/>
        <w:rPr>
          <w:rFonts w:ascii="Cambria" w:hAnsi="Cambria" w:eastAsia="SimSun" w:cs="Mangal"/>
          <w:b/>
          <w:b/>
          <w:kern w:val="2"/>
          <w:sz w:val="16"/>
          <w:szCs w:val="16"/>
          <w:lang w:bidi="hi-IN"/>
        </w:rPr>
      </w:pPr>
      <w:r>
        <w:rPr>
          <w:rFonts w:eastAsia="SimSun" w:cs="Mangal" w:ascii="Cambria" w:hAnsi="Cambria"/>
          <w:b/>
          <w:kern w:val="2"/>
          <w:sz w:val="16"/>
          <w:szCs w:val="16"/>
          <w:lang w:bidi="hi-IN"/>
        </w:rPr>
        <w:t>INSTRUKCJA UŻYTKOWANIA I KONSERWACJI MEBLI</w:t>
      </w:r>
    </w:p>
    <w:p>
      <w:pPr>
        <w:pStyle w:val="Normal"/>
        <w:widowControl w:val="false"/>
        <w:spacing w:lineRule="auto" w:line="360" w:before="0" w:after="0"/>
        <w:jc w:val="center"/>
        <w:rPr>
          <w:rFonts w:ascii="Cambria" w:hAnsi="Cambria" w:eastAsia="SimSun" w:cs="Mangal"/>
          <w:kern w:val="2"/>
          <w:sz w:val="16"/>
          <w:szCs w:val="16"/>
          <w:lang w:bidi="hi-IN"/>
        </w:rPr>
      </w:pPr>
      <w:r>
        <w:rPr>
          <w:rFonts w:eastAsia="SimSun" w:cs="Mangal" w:ascii="Cambria" w:hAnsi="Cambria"/>
          <w:kern w:val="2"/>
          <w:sz w:val="16"/>
          <w:szCs w:val="16"/>
          <w:lang w:bidi="hi-IN"/>
        </w:rPr>
      </w:r>
    </w:p>
    <w:p>
      <w:pPr>
        <w:pStyle w:val="ListParagraph"/>
        <w:widowControl w:val="false"/>
        <w:numPr>
          <w:ilvl w:val="0"/>
          <w:numId w:val="2"/>
        </w:numPr>
        <w:spacing w:lineRule="auto" w:line="360" w:before="0" w:after="0"/>
        <w:contextualSpacing/>
        <w:jc w:val="both"/>
        <w:rPr>
          <w:rFonts w:ascii="Cambria" w:hAnsi="Cambria" w:eastAsia="SimSun" w:cs="Mangal"/>
          <w:color w:val="000000"/>
          <w:kern w:val="2"/>
          <w:sz w:val="16"/>
          <w:szCs w:val="16"/>
          <w:lang w:bidi="hi-IN"/>
        </w:rPr>
      </w:pPr>
      <w:r>
        <w:rPr>
          <w:rFonts w:eastAsia="SimSun" w:cs="Mangal" w:ascii="Cambria" w:hAnsi="Cambria"/>
          <w:color w:val="000000"/>
          <w:kern w:val="2"/>
          <w:sz w:val="16"/>
          <w:szCs w:val="16"/>
          <w:lang w:bidi="hi-IN"/>
        </w:rPr>
        <w:t xml:space="preserve">Gwarant FPHU STOLARZ Piotr Grzeliński, 59-300 Lubin </w:t>
        <w:br/>
        <w:t xml:space="preserve">ul. Rzeźnicza 13, zapewnia Zamawiającemu wysoką jakość i prawidłowe funkcjonowanie mebli, pod warunkiem prawidłowego ich ustawienia i użytkowania zgodnego z przeznaczeniem. W razie wystąpienia w meblu wady, Gwarant zobowiązuje się do stosownego świadczenia gwarancyjnego, według zasad określonych niniejszą kartą gwarancyjną. </w:t>
      </w:r>
    </w:p>
    <w:p>
      <w:pPr>
        <w:pStyle w:val="ListParagraph"/>
        <w:widowControl w:val="false"/>
        <w:numPr>
          <w:ilvl w:val="0"/>
          <w:numId w:val="2"/>
        </w:numPr>
        <w:spacing w:lineRule="auto" w:line="360" w:before="0" w:after="0"/>
        <w:contextualSpacing/>
        <w:jc w:val="both"/>
        <w:rPr>
          <w:rFonts w:ascii="Cambria" w:hAnsi="Cambria" w:eastAsia="SimSun" w:cs="Mangal"/>
          <w:color w:val="000000"/>
          <w:kern w:val="2"/>
          <w:sz w:val="16"/>
          <w:szCs w:val="16"/>
          <w:lang w:bidi="hi-IN"/>
        </w:rPr>
      </w:pPr>
      <w:r>
        <w:rPr>
          <w:rFonts w:eastAsia="SimSun" w:cs="Mangal" w:ascii="Cambria" w:hAnsi="Cambria"/>
          <w:color w:val="000000"/>
          <w:kern w:val="2"/>
          <w:sz w:val="16"/>
          <w:szCs w:val="16"/>
          <w:lang w:bidi="hi-IN"/>
        </w:rPr>
        <w:t xml:space="preserve">Wykonawca gwarantuje, że materiał jak i zastosowana technika oraz technologia zapewni Państwu komfort </w:t>
        <w:br/>
        <w:t xml:space="preserve">w użytkowaniu zakupionego towaru przez długi okres, jeżeli będą Państwo stosować się do uwag zawartych w gwarancji i instrukcji użytkowania mebli. </w:t>
      </w:r>
    </w:p>
    <w:p>
      <w:pPr>
        <w:pStyle w:val="ListParagraph"/>
        <w:widowControl w:val="false"/>
        <w:numPr>
          <w:ilvl w:val="0"/>
          <w:numId w:val="2"/>
        </w:numPr>
        <w:spacing w:lineRule="auto" w:line="360" w:before="0" w:after="0"/>
        <w:contextualSpacing/>
        <w:jc w:val="both"/>
        <w:rPr>
          <w:rFonts w:ascii="Cambria" w:hAnsi="Cambria" w:eastAsia="SimSun" w:cs="Mangal"/>
          <w:color w:val="000000"/>
          <w:kern w:val="2"/>
          <w:sz w:val="16"/>
          <w:szCs w:val="16"/>
          <w:lang w:bidi="hi-IN"/>
        </w:rPr>
      </w:pPr>
      <w:r>
        <w:rPr>
          <w:rFonts w:eastAsia="SimSun" w:cs="Mangal" w:ascii="Cambria" w:hAnsi="Cambria"/>
          <w:kern w:val="2"/>
          <w:sz w:val="16"/>
          <w:szCs w:val="16"/>
          <w:lang w:bidi="hi-IN"/>
        </w:rPr>
        <w:t xml:space="preserve">Specyfika prowadzonej przez Wykonawcę działalności łączy ze sobą jednocześnie cechy Producenta pewnych wyrobów jak i jedynie Sprzedawcy określonych akcesoriów, które mogą podlegać osobny warunkom i okresom gwarancji narzucanym przez producenta. W tym drugim przypadku Przedstawiciel FPHU STOLARZ występując w roli Sprzedawcy określonego produktu ma obowiązek poinformować Zamawiającego o określonych odmiennych od poniżej wymienionych warunkach gwarancji dotyczących danego, specyficznego produktu. Najczęściej dotyczy to akcesoriów meblowych najwyższej jakości, najlepszych producentów, którzy obecnie proponują wieczysto lub długoletnie gwarancje na swoje systemy. </w:t>
        <w:br/>
        <w:t xml:space="preserve">Szczególnie może dotyczyć to m. in.  </w:t>
      </w:r>
    </w:p>
    <w:p>
      <w:pPr>
        <w:pStyle w:val="ListParagraph"/>
        <w:widowControl w:val="false"/>
        <w:numPr>
          <w:ilvl w:val="0"/>
          <w:numId w:val="3"/>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systemów amortyzacji i samo ciągu szuflad oraz amortyzacji domyku frontów</w:t>
      </w:r>
    </w:p>
    <w:p>
      <w:pPr>
        <w:pStyle w:val="ListParagraph"/>
        <w:widowControl w:val="false"/>
        <w:numPr>
          <w:ilvl w:val="0"/>
          <w:numId w:val="3"/>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podnośników szafek wiszących</w:t>
      </w:r>
    </w:p>
    <w:p>
      <w:pPr>
        <w:pStyle w:val="ListParagraph"/>
        <w:widowControl w:val="false"/>
        <w:numPr>
          <w:ilvl w:val="0"/>
          <w:numId w:val="3"/>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oświetlenia meblowego typu LED (określone marki)</w:t>
      </w:r>
    </w:p>
    <w:p>
      <w:pPr>
        <w:pStyle w:val="ListParagraph"/>
        <w:widowControl w:val="false"/>
        <w:numPr>
          <w:ilvl w:val="0"/>
          <w:numId w:val="3"/>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systemów jezdnych szaf z drzwiami przesuwnymi</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Gwarancja zarówno w przypadku zakupu konsumenckiego jak i komercyjnego zostaje udzielona na okres 24 miesięcy od daty wydania /montażu mebli Zamawiającemu, potwierdzonej pieczęcią punktu sprzedaży detalicznej i podpisem sprzedawcy. Okres rękojmi wynosi również 24 miesiące. </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Zakup konsumencki w rozumieniu przepisów Kodeksu Cywilnego, oraz o prawach konsumenta, jest to zakup dokonany przez osobę fizyczną, która nabywa tę rzecz w celu nie związanym z działalnością gospodarczą. </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Podstawą do rozpatrzenia gwarancji przez gwaranta jest</w:t>
      </w:r>
      <w:r>
        <w:rPr>
          <w:rFonts w:eastAsia="SimSun" w:cs="Mangal" w:ascii="Cambria" w:hAnsi="Cambria"/>
          <w:color w:val="FF0000"/>
          <w:kern w:val="2"/>
          <w:sz w:val="16"/>
          <w:szCs w:val="16"/>
          <w:lang w:bidi="hi-IN"/>
        </w:rPr>
        <w:t xml:space="preserve">: </w:t>
      </w:r>
    </w:p>
    <w:p>
      <w:pPr>
        <w:pStyle w:val="ListParagraph"/>
        <w:widowControl w:val="false"/>
        <w:numPr>
          <w:ilvl w:val="0"/>
          <w:numId w:val="4"/>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dokument zakupu </w:t>
      </w:r>
    </w:p>
    <w:p>
      <w:pPr>
        <w:pStyle w:val="ListParagraph"/>
        <w:widowControl w:val="false"/>
        <w:numPr>
          <w:ilvl w:val="0"/>
          <w:numId w:val="4"/>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karta montażu szafki (protokół odbioru) </w:t>
      </w:r>
    </w:p>
    <w:p>
      <w:pPr>
        <w:pStyle w:val="ListParagraph"/>
        <w:widowControl w:val="false"/>
        <w:numPr>
          <w:ilvl w:val="0"/>
          <w:numId w:val="4"/>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formularz zamówienia lub rysunek będący dowodem, iż dany mebel został wykonany przez firmę FPHU STOLARZ. </w:t>
      </w:r>
    </w:p>
    <w:p>
      <w:pPr>
        <w:pStyle w:val="ListParagraph"/>
        <w:widowControl w:val="false"/>
        <w:numPr>
          <w:ilvl w:val="0"/>
          <w:numId w:val="2"/>
        </w:numPr>
        <w:spacing w:lineRule="auto" w:line="360" w:before="0" w:after="0"/>
        <w:contextualSpacing/>
        <w:rPr>
          <w:rFonts w:ascii="Cambria" w:hAnsi="Cambria" w:eastAsia="SimSun" w:cs="Mangal"/>
          <w:kern w:val="2"/>
          <w:sz w:val="16"/>
          <w:szCs w:val="16"/>
          <w:lang w:bidi="hi-IN"/>
        </w:rPr>
      </w:pPr>
      <w:r>
        <w:rPr>
          <w:rFonts w:eastAsia="SimSun" w:cs="Mangal" w:ascii="Cambria" w:hAnsi="Cambria"/>
          <w:kern w:val="2"/>
          <w:sz w:val="16"/>
          <w:szCs w:val="16"/>
          <w:lang w:bidi="hi-IN"/>
        </w:rPr>
        <w:t xml:space="preserve">Wykonawca (Sprzedający) jest zobowiązany </w:t>
      </w:r>
    </w:p>
    <w:p>
      <w:pPr>
        <w:pStyle w:val="ListParagraph"/>
        <w:widowControl w:val="false"/>
        <w:numPr>
          <w:ilvl w:val="0"/>
          <w:numId w:val="5"/>
        </w:numPr>
        <w:spacing w:lineRule="auto" w:line="360" w:before="0" w:after="0"/>
        <w:ind w:left="284" w:hanging="284"/>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do sprawdzenia zgodności wydawanego produktu z zamówieniem i fakturą zakupu </w:t>
      </w:r>
    </w:p>
    <w:p>
      <w:pPr>
        <w:pStyle w:val="ListParagraph"/>
        <w:widowControl w:val="false"/>
        <w:numPr>
          <w:ilvl w:val="0"/>
          <w:numId w:val="5"/>
        </w:numPr>
        <w:spacing w:lineRule="auto" w:line="360" w:before="0" w:after="0"/>
        <w:ind w:left="284" w:hanging="284"/>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w obecności klienta lub osoby przez niego wyznaczonej do dokonania sprawdzenia jakości, kompletności szafki, ewentualnego opisu uszkodzeń i braków. Informacje te mają zostać zawarte w sporządzanym po wykonanym montażu/odbiorze własnym mebli protokole odbioru. </w:t>
      </w:r>
    </w:p>
    <w:p>
      <w:pPr>
        <w:pStyle w:val="Normal"/>
        <w:widowControl w:val="false"/>
        <w:spacing w:lineRule="auto" w:line="360" w:before="0" w:after="0"/>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______________________________________________________________________________________ </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b/>
          <w:kern w:val="2"/>
          <w:sz w:val="16"/>
          <w:szCs w:val="16"/>
          <w:lang w:bidi="hi-IN"/>
        </w:rPr>
        <w:t>GWARANCJĄ PRODUCENTA NIE SĄ OBJĘTE</w:t>
      </w:r>
    </w:p>
    <w:p>
      <w:pPr>
        <w:pStyle w:val="ListParagraph"/>
        <w:widowControl w:val="false"/>
        <w:numPr>
          <w:ilvl w:val="0"/>
          <w:numId w:val="6"/>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Uszkodzenia powstałe w wyniku samodzielnego dokonywanego przez klienta niewłaściwego transportu oraz przenoszenia mebli</w:t>
      </w:r>
    </w:p>
    <w:p>
      <w:pPr>
        <w:pStyle w:val="ListParagraph"/>
        <w:widowControl w:val="false"/>
        <w:numPr>
          <w:ilvl w:val="0"/>
          <w:numId w:val="6"/>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Uszkodzenia wynikłe ze zdarzeń losowych lub innych okoliczności niezależnych od producenta. </w:t>
      </w:r>
    </w:p>
    <w:p>
      <w:pPr>
        <w:pStyle w:val="ListParagraph"/>
        <w:widowControl w:val="false"/>
        <w:numPr>
          <w:ilvl w:val="0"/>
          <w:numId w:val="6"/>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spacing w:val="-8"/>
          <w:kern w:val="2"/>
          <w:sz w:val="16"/>
          <w:szCs w:val="16"/>
          <w:lang w:bidi="hi-IN"/>
        </w:rPr>
        <w:t xml:space="preserve">Uszkodzenia powstałe w wyniku samodzielnej ingerencji w meble oraz przy przeróbkach wykonywanych we własnym zakresie przez klienta. </w:t>
      </w:r>
    </w:p>
    <w:p>
      <w:pPr>
        <w:pStyle w:val="ListParagraph"/>
        <w:widowControl w:val="false"/>
        <w:numPr>
          <w:ilvl w:val="0"/>
          <w:numId w:val="6"/>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Uszkodzenia powstałe w wyniku niezgodnych z zalecanymi przez producenta zasadami konserwacji i przechowywania.  </w:t>
      </w:r>
    </w:p>
    <w:p>
      <w:pPr>
        <w:pStyle w:val="ListParagraph"/>
        <w:widowControl w:val="false"/>
        <w:numPr>
          <w:ilvl w:val="0"/>
          <w:numId w:val="6"/>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Wady i uszkodzenia (z którymi klient zapoznał się przy odbiorze mebla) z powodu których obniżono cenę, którą Klient zaakceptował </w:t>
      </w:r>
    </w:p>
    <w:p>
      <w:pPr>
        <w:pStyle w:val="ListParagraph"/>
        <w:widowControl w:val="false"/>
        <w:numPr>
          <w:ilvl w:val="0"/>
          <w:numId w:val="6"/>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Niezamierzone przez producenta różnice w profilach, odcieniach kolorów wynikające z zaprojektowanych cech plastycznych i estetycznych wyrobu oraz cech charakterystycznych dla surowców, z których wykonano mebel, a w szczególności: różnice w fakturze i odcieniu drewna litego (również niejednorodne pokrycie lakierem), gdzie drobne różnice nie są wadą wyrobu, a wynikają ze specyfiki danych materiałów oraz naturalnych właściwości i wad drewna, (dotyczy także różnice kolorów anodowanego aluminium, czy kolorów folii mdf spowodowane różną datą partii produkcyjnych – towar zamawiany w dużych odstępach czasu)</w:t>
      </w:r>
    </w:p>
    <w:p>
      <w:pPr>
        <w:pStyle w:val="ListParagraph"/>
        <w:widowControl w:val="false"/>
        <w:numPr>
          <w:ilvl w:val="0"/>
          <w:numId w:val="6"/>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Żądania wykraczające poza zakres umowy. Różnice w kolorze lub fakturze produktu, jeśli kolor lub faktura produktu została wybrana w oparciu o symbol katalogowy</w:t>
      </w:r>
    </w:p>
    <w:p>
      <w:pPr>
        <w:pStyle w:val="ListParagraph"/>
        <w:widowControl w:val="false"/>
        <w:numPr>
          <w:ilvl w:val="0"/>
          <w:numId w:val="6"/>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Uszkodzenia powstałe w wyniku naturalnego (przeciętnego, normalnego) zużycia. </w:t>
      </w:r>
    </w:p>
    <w:p>
      <w:pPr>
        <w:pStyle w:val="ListParagraph"/>
        <w:widowControl w:val="false"/>
        <w:numPr>
          <w:ilvl w:val="0"/>
          <w:numId w:val="6"/>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Uszkodzenia powstałe na skutek braku sprawnego okapu lub przez nieprawidłowo używane lub funkcjonujące wyroby (urządzenia) elektryczne i gazowe, a w szczególności w przypadku zepsucia się tych urządzeń lub wpływu użytkowania urządzeń nie przeznaczonych do zabudowy,</w:t>
      </w:r>
    </w:p>
    <w:p>
      <w:pPr>
        <w:pStyle w:val="ListParagraph"/>
        <w:widowControl w:val="false"/>
        <w:numPr>
          <w:ilvl w:val="0"/>
          <w:numId w:val="6"/>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Uszkodzenia, powstałe na skutek zalania lub zawilgocenia (w szczególności długotrwałego utrzymywania się takiego stanu) a także zalegania na powierzchni mebli płynu bądź narażenia powierzchni na występowanie nadmiernej ilości pary wodnej, chyba, że meble przeznaczone są do używania w takich warunkach (np. sauna), co zaznaczone jest wyraźnie w przedmiocie zamówienia. </w:t>
      </w:r>
    </w:p>
    <w:p>
      <w:pPr>
        <w:pStyle w:val="ListParagraph"/>
        <w:widowControl w:val="false"/>
        <w:numPr>
          <w:ilvl w:val="0"/>
          <w:numId w:val="6"/>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Wypaczenie się frontów w wyniku dużych zmian lub złych warunków klimatycznych w pomieszczeniu jak również w wyniku nieprawidłowego korzystania z lodówki (otwarcie lodówki bezpośrednio po jej zamknięciu),</w:t>
      </w:r>
    </w:p>
    <w:p>
      <w:pPr>
        <w:pStyle w:val="ListParagraph"/>
        <w:widowControl w:val="false"/>
        <w:numPr>
          <w:ilvl w:val="0"/>
          <w:numId w:val="6"/>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Funkcjonalności wyrobu, czy zestawu, jeżeli był on wykonany właściwie dla projektu zleconego lub został zaakceptowany przez Zamawiającego oraz został wykonany zgodnie ze standardami przez Wykonawcę. Zmiany tonacji wybarwienia powłoki lakierniczej, związanej z narażeniem jej na długotrwałe działanie promieni słonecznych, dymu tytoniowego lub podobnych.  Pęknięcia i</w:t>
      </w:r>
    </w:p>
    <w:p>
      <w:pPr>
        <w:pStyle w:val="ListParagraph"/>
        <w:widowControl w:val="false"/>
        <w:numPr>
          <w:ilvl w:val="0"/>
          <w:numId w:val="6"/>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zarysowania powierzchni spowodowane uderzeniem </w:t>
      </w:r>
    </w:p>
    <w:p>
      <w:pPr>
        <w:pStyle w:val="ListParagraph"/>
        <w:widowControl w:val="false"/>
        <w:numPr>
          <w:ilvl w:val="0"/>
          <w:numId w:val="6"/>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spacing w:val="-8"/>
          <w:kern w:val="2"/>
          <w:sz w:val="16"/>
          <w:szCs w:val="16"/>
          <w:lang w:bidi="hi-IN"/>
        </w:rPr>
        <w:t>Uszkodzenia mechaniczne akcesoriów meblowych spowodowane niewłaściwym użytkowaniem lub użyciem niepotrzebnie zbyt dużej siły.</w:t>
      </w:r>
    </w:p>
    <w:p>
      <w:pPr>
        <w:pStyle w:val="ListParagraph"/>
        <w:widowControl w:val="false"/>
        <w:numPr>
          <w:ilvl w:val="0"/>
          <w:numId w:val="2"/>
        </w:numPr>
        <w:spacing w:lineRule="auto" w:line="360" w:before="0" w:after="0"/>
        <w:contextualSpacing/>
        <w:jc w:val="both"/>
        <w:rPr>
          <w:rFonts w:ascii="Cambria" w:hAnsi="Cambria" w:eastAsia="SimSun" w:cs="Mangal"/>
          <w:bCs/>
          <w:kern w:val="2"/>
          <w:sz w:val="16"/>
          <w:szCs w:val="16"/>
          <w:lang w:bidi="hi-IN"/>
        </w:rPr>
      </w:pPr>
      <w:r>
        <w:rPr>
          <w:rFonts w:eastAsia="SimSun" w:cs="Mangal" w:ascii="Cambria" w:hAnsi="Cambria"/>
          <w:bCs/>
          <w:kern w:val="2"/>
          <w:sz w:val="16"/>
          <w:szCs w:val="16"/>
          <w:lang w:bidi="hi-IN"/>
        </w:rPr>
        <w:t xml:space="preserve">O przyjęciu reklamacji do realizacji lub też o uznaniu reklamacji za nieuzasadnioną Zamawiający będzie powiadomiony przez Gwaranta: </w:t>
      </w:r>
    </w:p>
    <w:p>
      <w:pPr>
        <w:pStyle w:val="ListParagraph"/>
        <w:widowControl w:val="false"/>
        <w:numPr>
          <w:ilvl w:val="0"/>
          <w:numId w:val="7"/>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w przypadku wykonania oględzin, natychmiast po ich zakończeniu poprzez wpisanie do protokołu zgłoszenia reklamacyjnego,</w:t>
      </w:r>
    </w:p>
    <w:p>
      <w:pPr>
        <w:pStyle w:val="ListParagraph"/>
        <w:widowControl w:val="false"/>
        <w:numPr>
          <w:ilvl w:val="0"/>
          <w:numId w:val="7"/>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we wszystkich innych przypadkach w terminie 14 dni od czasu wpłynięcia zgłoszenia reklamacyjnego</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Gdy wada stanowiąca przedmiot zgłoszenia reklamacyjnego jest usuwalna, świadczenie gwarancyjne będzie realizowane poprzez naprawę gwarancyjną. </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W przypadku gdy wada mebla jest nieusuwalna lub jej usunięcie spowodowałoby obniżenie jakości wyrobu, Kupującemu przysługuje wymiana mebla na wolny od wad lub obniżenie ceny adekwatne do zakresu uszkodzenia. </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Termin usunięcia wady reklamacyjnej wynosi 21 dni od czasu wpłynięcia zgłoszenia. </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W przypadku zgłoszenia reklamacyjnego na wyrób wykonany na indywidualne zamówienie klienta (wyrób usługowy) termin realizacji może być przedłużony do 45 dni ze względu na niestandardowe wymiary, wzór, rozwiązania technologiczne, lub potrzebę sprowadzenia specyficznych akcesoriów meblowych od dostawców Producenta. </w:t>
      </w:r>
    </w:p>
    <w:p>
      <w:pPr>
        <w:pStyle w:val="ListParagraph"/>
        <w:widowControl w:val="false"/>
        <w:spacing w:lineRule="auto" w:line="360" w:before="0" w:after="0"/>
        <w:ind w:left="360" w:hanging="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_______________________________________________________________________________ </w:t>
      </w:r>
    </w:p>
    <w:p>
      <w:pPr>
        <w:pStyle w:val="ListParagraph"/>
        <w:widowControl w:val="false"/>
        <w:numPr>
          <w:ilvl w:val="0"/>
          <w:numId w:val="2"/>
        </w:numPr>
        <w:spacing w:lineRule="auto" w:line="360" w:before="0" w:after="0"/>
        <w:contextualSpacing/>
        <w:rPr>
          <w:rFonts w:ascii="Cambria" w:hAnsi="Cambria" w:eastAsia="SimSun" w:cs="Mangal"/>
          <w:kern w:val="2"/>
          <w:sz w:val="16"/>
          <w:szCs w:val="16"/>
          <w:lang w:bidi="hi-IN"/>
        </w:rPr>
      </w:pPr>
      <w:r>
        <w:rPr>
          <w:rFonts w:eastAsia="SimSun" w:cs="Mangal" w:ascii="Cambria" w:hAnsi="Cambria"/>
          <w:b/>
          <w:kern w:val="2"/>
          <w:sz w:val="16"/>
          <w:szCs w:val="16"/>
          <w:lang w:bidi="hi-IN"/>
        </w:rPr>
        <w:t>ZASADY UŻYTKOWANIA MEBLI</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Stwierdzone przez serwisanta podczas oględzin nieprzestrzegania i ignorowanie poniżej opisanych zasad użytkowania mebli skutkować może odmową realizacji świadczenia wynikającego z gwarancji  na dotyczącą wadliwego użytkowania część mebla bądź wskazane akcesoria meblowe.</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Meble muszą być użytkowane zgodnie z ich przeznaczeniem.</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Meble należy użytkować w pomieszczeniach zamkniętych i zabezpieczonych przed działaniem warunków atmosferycznych. Temperatura powietrza wewnątrz pomieszczenia powinna wynosić od 10º do 30º C</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color w:val="000000"/>
          <w:kern w:val="2"/>
          <w:sz w:val="16"/>
          <w:szCs w:val="16"/>
          <w:lang w:bidi="hi-IN"/>
        </w:rPr>
        <w:t xml:space="preserve">Nie należy stawiać mebli przy bezpośrednich źródłach ciepła. </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Wyrób nie może być wyposażeniem w saunie. </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color w:val="000000"/>
          <w:kern w:val="2"/>
          <w:sz w:val="16"/>
          <w:szCs w:val="16"/>
          <w:lang w:bidi="hi-IN"/>
        </w:rPr>
        <w:t>Wymagane jest równe ustawienie (wypoziomowanie mebli).</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spacing w:val="-6"/>
          <w:kern w:val="2"/>
          <w:sz w:val="16"/>
          <w:szCs w:val="16"/>
          <w:lang w:bidi="hi-IN"/>
        </w:rPr>
        <w:t xml:space="preserve">Powłoka lakiernicza nie może być poddawana działaniu wysokich temperatur, środków chemicznych, np.: rozpuszczalniki, benzyna oraz kosmetyki o silnym działaniu (farby do włosów, zmywacze do paznokci itp.) </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Produkt jest meblem wykonanym z materiałów o zwiększonej odporności na działanie wilgoci, nie może być jednak poddawany bezpośredniemu (ciągłemu lub długotrwałemu) działaniu wody (np. zalaniu). </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Należy dbać, aby fronty mebli (czoła szuflad i drzwi) nie były narażone na tarcie o jakikolwiek element. Zmiana obciążenia szafek wiąże się w niektórych przypadkach z potrzebą regulacji samych frontów lub zawieszenia całej szafki.</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W celu zapewnienia właściwego działania systemów amortyzacji i samociągu szuflad oraz amortyzacji domyku frontów, należy zamykać szuflady i fronty przy użyciu małej siły. Zamykanie szuflad i frontów ze zbyt dużą siłą powoduje ograniczone działanie mechanizmów, a w przypadku powtarzających się takich zdarzeń może spowodować ich uszkodzenie.</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Powierzchnię mebli, a przede wszystkim fronty, które z reguły są wykonane z bardziej szlachetnego materiału niż pozostałe części mebli szczególnie należy chronić przed obiciem i porysowaniem.</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Nie należy opierać się na drzwiach meblowych ani poddawać obciążeniom drzwi meblowe.</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Na blaty (płyty robocze) nie można stawiać gorących przedmiotów, zwłaszcza naczyń bezpośrednio zdjętych z płyty grzewczej. Należy zawsze stosować deskę lub podkładkę.</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Kroić należy na specjalnie przygotowanych deskach oddzielających powierzchnię blatu od bezpośredniego kontaktu z nożem.</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Sprzętów AGD należy używać zgodnie z ich przeznaczeniem. Dopuszcza się montowanie w ciągu pomiędzy poszczególnymi szafkami, sprzętu wyłącznie posiadającego na to stosowny atest producenta. </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Należy chronić meble przed działaniem wody. Szczególnie w przypadku zalania w okolicach połączeń blatów, należy niezwłocznie usunąć wodę suchą szmatką. Należy dbać aby woda nie dostała się z tyłu blatu (od strony ściany). Może to powodować wybrzuszenie blatu. Należy unikać zalania frontów, które w wyniku tego mogą ulec zniszczeniu.</w:t>
      </w:r>
    </w:p>
    <w:p>
      <w:pPr>
        <w:pStyle w:val="ListParagraph"/>
        <w:widowControl w:val="false"/>
        <w:numPr>
          <w:ilvl w:val="0"/>
          <w:numId w:val="2"/>
        </w:numPr>
        <w:spacing w:lineRule="auto" w:line="360" w:before="0" w:after="0"/>
        <w:contextualSpacing/>
        <w:jc w:val="both"/>
        <w:rPr>
          <w:rFonts w:ascii="Cambria" w:hAnsi="Cambria" w:eastAsia="SimSun" w:cs="Mangal"/>
          <w:b/>
          <w:b/>
          <w:bCs/>
          <w:kern w:val="2"/>
          <w:sz w:val="16"/>
          <w:szCs w:val="16"/>
          <w:lang w:bidi="hi-IN"/>
        </w:rPr>
      </w:pPr>
      <w:r>
        <w:rPr>
          <w:rFonts w:eastAsia="SimSun" w:cs="Mangal" w:ascii="Cambria" w:hAnsi="Cambria"/>
          <w:kern w:val="2"/>
          <w:sz w:val="16"/>
          <w:szCs w:val="16"/>
          <w:lang w:bidi="hi-IN"/>
        </w:rPr>
        <w:t xml:space="preserve">Zmywarkę należy otwierać nie wcześniej niż po 15 minutach od zakończenia cyklu mycia, aby uniknąć uderzenia parowego na blat. W przypadku blatów laminowanych, należy wyłączyć funkcję automatycznego otwierania zmywarki po zakończonym cyklu (o ile urządzenie taką funkcję posiada).  </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Aby po zamknięciu lodówki ponownie ją otworzyć należy odczekać minimum 1 minutę. Nie stosowanie tej reguły może spowodować wykrzywienie się frontów lub złamanie zaczepów łączących front z drzwiami lodówki (dotyczy lodówek do zabudowy). </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Szufladę należy obciążać równomiernie na całej powierzchni, nie należy opierać się o szufladę. Szczególnie należy unikać nadmiernego obciążenia szuflady blisko lub na samym froncie.</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 xml:space="preserve">W razie wątpliwości, co do sposobu użytkowania mebli, przed podjęciem jakiejkolwiek czynności opisanej w niniejszej instrukcji należy skontaktować się z przedstawicielem Gwaranta. </w:t>
      </w:r>
    </w:p>
    <w:p>
      <w:pPr>
        <w:pStyle w:val="Normal"/>
        <w:widowControl w:val="false"/>
        <w:spacing w:lineRule="auto" w:line="360" w:before="0" w:after="0"/>
        <w:rPr>
          <w:rFonts w:ascii="Cambria" w:hAnsi="Cambria" w:eastAsia="SimSun" w:cs="Mangal"/>
          <w:b/>
          <w:b/>
          <w:spacing w:val="-6"/>
          <w:kern w:val="2"/>
          <w:sz w:val="16"/>
          <w:szCs w:val="16"/>
          <w:u w:val="single"/>
          <w:lang w:bidi="hi-IN"/>
        </w:rPr>
      </w:pPr>
      <w:r>
        <w:rPr>
          <w:rFonts w:eastAsia="SimSun" w:cs="Mangal" w:ascii="Cambria" w:hAnsi="Cambria"/>
          <w:b/>
          <w:spacing w:val="-6"/>
          <w:kern w:val="2"/>
          <w:sz w:val="16"/>
          <w:szCs w:val="16"/>
          <w:u w:val="single"/>
          <w:lang w:bidi="hi-IN"/>
        </w:rPr>
        <w:t>_______________________________________________________________________________________________</w:t>
      </w:r>
    </w:p>
    <w:p>
      <w:pPr>
        <w:pStyle w:val="ListParagraph"/>
        <w:widowControl w:val="false"/>
        <w:numPr>
          <w:ilvl w:val="0"/>
          <w:numId w:val="2"/>
        </w:numPr>
        <w:spacing w:lineRule="auto" w:line="360" w:before="0" w:after="0"/>
        <w:contextualSpacing/>
        <w:rPr>
          <w:rFonts w:ascii="Cambria" w:hAnsi="Cambria" w:eastAsia="SimSun" w:cs="Mangal"/>
          <w:kern w:val="2"/>
          <w:sz w:val="16"/>
          <w:szCs w:val="16"/>
          <w:lang w:bidi="hi-IN"/>
        </w:rPr>
      </w:pPr>
      <w:r>
        <w:rPr>
          <w:rFonts w:eastAsia="SimSun" w:cs="Mangal" w:ascii="Cambria" w:hAnsi="Cambria"/>
          <w:b/>
          <w:spacing w:val="-6"/>
          <w:kern w:val="2"/>
          <w:sz w:val="16"/>
          <w:szCs w:val="16"/>
          <w:lang w:bidi="hi-IN"/>
        </w:rPr>
        <w:t>ZASADY KONSERWACJI MEBLI</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spacing w:val="-6"/>
          <w:kern w:val="2"/>
          <w:sz w:val="16"/>
          <w:szCs w:val="16"/>
          <w:lang w:bidi="hi-IN"/>
        </w:rPr>
        <w:t xml:space="preserve">Do czyszczenia mebli (płyt meblowych, powierzchni lakierowanych, mdf+pvc) należy stosować lekko wilgotną miękką tkaninę, następnie wytrzeć do sucha. </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spacing w:val="-6"/>
          <w:kern w:val="2"/>
          <w:sz w:val="16"/>
          <w:szCs w:val="16"/>
          <w:lang w:bidi="hi-IN"/>
        </w:rPr>
        <w:t xml:space="preserve">W przypadku powstania silniejszych zabrudzeń można użyć łagodnych środków myjących przeznaczonych (zgodnie </w:t>
        <w:br/>
        <w:t>z etykietą i instrukcją danego środka) do czyszczenia danych powierzchni meblowych. W przypadku braku pewności co do możliwości zajścia reakcji chemicznej środka czyszczącego z powierzchnią meblową należy dokonać próby na stosunkowo niewidocznej części danego mebla (np. „lewa” strona półki wewnętrznej). Podejmując próbę należy odczekać kilka godzin by mieć możliwość stwierdzenia trwałej reakcji lub jej braku.</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color w:val="000000"/>
          <w:spacing w:val="-6"/>
          <w:kern w:val="2"/>
          <w:sz w:val="16"/>
          <w:szCs w:val="16"/>
          <w:lang w:bidi="hi-IN"/>
        </w:rPr>
        <w:t xml:space="preserve">Podczas czyszczenia i konserwacji należy unikać mocnego tarcia oraz wykorzystania szorstkich i twardych materiałów mogących rysować powierzchnie. </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spacing w:val="-6"/>
          <w:kern w:val="2"/>
          <w:sz w:val="16"/>
          <w:szCs w:val="16"/>
          <w:lang w:bidi="hi-IN"/>
        </w:rPr>
        <w:t>Nie należy używać do czyszczenia aktywnych środków chemicznych (np. usuwających kamień, rdzę, środków do czyszczenia ceramiki, etc.)</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spacing w:val="-6"/>
          <w:kern w:val="2"/>
          <w:sz w:val="16"/>
          <w:szCs w:val="16"/>
          <w:lang w:bidi="hi-IN"/>
        </w:rPr>
        <w:t>Za uszkodzenia powierzchni meblowej (płyty meblowej, powłoki lakierniczej frontów, folii pvc frontów na bazie mdf, etc.) w wyniku użycia niezalecanego środka czyszczącego Producent nie ponosi odpowiedzialności.</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spacing w:val="-6"/>
          <w:kern w:val="2"/>
          <w:sz w:val="16"/>
          <w:szCs w:val="16"/>
          <w:lang w:bidi="hi-IN"/>
        </w:rPr>
        <w:t>Systemy jezdne drzwi suwanych w szafach do zabudowy lub garderobach (bez różnicy czy jest to system jezdny dolny czy górny) nie podlegają żadnym dodatkowym pracom konserwacyjnym ze strony Zamawiającego. Nie należy do nich stosować żadnych dodatkowych smarów czy olei. Należy jedynie dbać o czystość torów jezdnych drzwi suwanych (szczególnie w wypadku dolnych systemów). Zniszczenie wózków jezdnych systemu spowodowane zgromadzonym w torach kurzem, piaskiem, czy też sierścią zwierząt domowych nie podlega naprawom gwarancyjnym.</w:t>
      </w:r>
    </w:p>
    <w:p>
      <w:pPr>
        <w:pStyle w:val="ListParagraph"/>
        <w:widowControl w:val="false"/>
        <w:numPr>
          <w:ilvl w:val="0"/>
          <w:numId w:val="2"/>
        </w:numPr>
        <w:spacing w:lineRule="auto" w:line="360" w:before="0" w:after="0"/>
        <w:contextualSpacing/>
        <w:jc w:val="both"/>
        <w:rPr>
          <w:rFonts w:ascii="Cambria" w:hAnsi="Cambria" w:eastAsia="SimSun" w:cs="Mangal"/>
          <w:kern w:val="2"/>
          <w:sz w:val="16"/>
          <w:szCs w:val="16"/>
          <w:lang w:bidi="hi-IN"/>
        </w:rPr>
      </w:pPr>
      <w:r>
        <w:rPr>
          <w:rFonts w:eastAsia="SimSun" w:cs="Mangal" w:ascii="Cambria" w:hAnsi="Cambria"/>
          <w:kern w:val="2"/>
          <w:sz w:val="16"/>
          <w:szCs w:val="16"/>
          <w:lang w:bidi="hi-IN"/>
        </w:rPr>
        <w:t>Gwarancja na dany towar nie wyłącza, nie ogranicza, ani nie zawiesza uprawnień kupującego wynikających z niezgodności towaru z umową.</w:t>
      </w:r>
    </w:p>
    <w:p>
      <w:pPr>
        <w:pStyle w:val="Normal"/>
        <w:jc w:val="both"/>
        <w:rPr>
          <w:rFonts w:ascii="Cambria" w:hAnsi="Cambria" w:cs="Aptos Display" w:cstheme="majorHAnsi"/>
          <w:b/>
          <w:b/>
          <w:bCs/>
          <w:sz w:val="20"/>
          <w:szCs w:val="20"/>
        </w:rPr>
      </w:pPr>
      <w:r>
        <w:rPr>
          <w:rFonts w:cs="Aptos Display" w:ascii="Cambria" w:hAnsi="Cambria" w:cstheme="majorHAnsi"/>
          <w:b/>
          <w:bCs/>
          <w:sz w:val="20"/>
          <w:szCs w:val="20"/>
        </w:rPr>
        <w:t xml:space="preserve">Oświadczam, że zapoznałem/łam się z treścią informacji. </w:t>
      </w:r>
    </w:p>
    <w:p>
      <w:pPr>
        <w:pStyle w:val="Normal"/>
        <w:jc w:val="both"/>
        <w:rPr>
          <w:rFonts w:ascii="Cambria" w:hAnsi="Cambria" w:cs="Aptos Display" w:cstheme="majorHAnsi"/>
          <w:sz w:val="20"/>
          <w:szCs w:val="20"/>
        </w:rPr>
      </w:pPr>
      <w:r>
        <w:rPr>
          <w:rFonts w:cs="Aptos Display" w:ascii="Cambria" w:hAnsi="Cambria" w:cstheme="majorHAnsi"/>
          <w:sz w:val="20"/>
          <w:szCs w:val="20"/>
        </w:rPr>
        <w:t xml:space="preserve">Miejscowość i data ____________________________________________ </w:t>
      </w:r>
    </w:p>
    <w:tbl>
      <w:tblPr>
        <w:tblStyle w:val="Zwykatabela11"/>
        <w:tblW w:w="432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20"/>
      </w:tblGrid>
      <w:tr>
        <w:trPr>
          <w:trHeight w:val="284" w:hRule="atLeast"/>
          <w:cnfStyle w:val="100000000000" w:firstRow="1" w:lastRow="0" w:firstColumn="0" w:lastColumn="0" w:oddVBand="0" w:evenVBand="0" w:oddHBand="0" w:evenHBand="0" w:firstRowFirstColumn="0" w:firstRowLastColumn="0" w:lastRowFirstColumn="0" w:lastRowLastColumn="0"/>
        </w:trPr>
        <w:tc>
          <w:tcPr>
            <w:tcW w:w="4320"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lineRule="auto" w:line="259" w:before="0" w:after="0"/>
              <w:jc w:val="center"/>
              <w:rPr>
                <w:rFonts w:ascii="Cambria" w:hAnsi="Cambria"/>
                <w:i/>
                <w:i/>
                <w:iCs/>
                <w:lang w:eastAsia="en-US"/>
              </w:rPr>
            </w:pPr>
            <w:r>
              <w:rPr>
                <w:rFonts w:eastAsia="Aptos" w:cs="" w:ascii="Cambria" w:hAnsi="Cambria"/>
                <w:b/>
                <w:bCs/>
                <w:i/>
                <w:iCs/>
                <w:kern w:val="2"/>
                <w:lang w:val="pl-PL" w:eastAsia="en-US" w:bidi="ar-SA"/>
              </w:rPr>
              <w:t>Czytelny Podpis Zamawiającego</w:t>
            </w:r>
          </w:p>
        </w:tc>
      </w:tr>
      <w:tr>
        <w:trPr>
          <w:trHeight w:val="1126" w:hRule="atLeast"/>
          <w:cnfStyle w:val="000000100000" w:firstRow="0" w:lastRow="0" w:firstColumn="0" w:lastColumn="0" w:oddVBand="0" w:evenVBand="0" w:oddHBand="1" w:evenHBand="0" w:firstRowFirstColumn="0" w:firstRowLastColumn="0" w:lastRowFirstColumn="0" w:lastRowLastColumn="0"/>
        </w:trPr>
        <w:tc>
          <w:tcPr>
            <w:tcW w:w="4320" w:type="dxa"/>
            <w:cnfStyle w:val="001000000000" w:firstRow="0" w:lastRow="0" w:firstColumn="1" w:lastColumn="0" w:oddVBand="0" w:evenVBand="0" w:oddHBand="0" w:evenHBand="0" w:firstRowFirstColumn="0" w:firstRowLastColumn="0" w:lastRowFirstColumn="0" w:lastRowLastColumn="0"/>
            <w:tcBorders/>
            <w:shd w:color="auto" w:fill="F2F2F2" w:themeFill="background1" w:themeFillShade="f2" w:val="clear"/>
          </w:tcPr>
          <w:p>
            <w:pPr>
              <w:pStyle w:val="Normal"/>
              <w:widowControl w:val="false"/>
              <w:suppressAutoHyphens w:val="true"/>
              <w:spacing w:lineRule="auto" w:line="259" w:before="0" w:after="0"/>
              <w:jc w:val="both"/>
              <w:rPr>
                <w:rFonts w:ascii="Cambria" w:hAnsi="Cambria"/>
                <w:lang w:eastAsia="en-US"/>
              </w:rPr>
            </w:pPr>
            <w:r>
              <w:rPr>
                <w:rFonts w:eastAsia="Aptos" w:cs="" w:ascii="Cambria" w:hAnsi="Cambria"/>
                <w:b/>
                <w:bCs/>
                <w:kern w:val="2"/>
                <w:lang w:val="pl-PL" w:eastAsia="en-US" w:bidi="ar-SA"/>
              </w:rPr>
            </w:r>
          </w:p>
          <w:p>
            <w:pPr>
              <w:pStyle w:val="Normal"/>
              <w:widowControl w:val="false"/>
              <w:suppressAutoHyphens w:val="true"/>
              <w:spacing w:lineRule="auto" w:line="259" w:before="0" w:after="0"/>
              <w:jc w:val="both"/>
              <w:rPr>
                <w:rFonts w:ascii="Cambria" w:hAnsi="Cambria"/>
                <w:lang w:eastAsia="en-US"/>
              </w:rPr>
            </w:pPr>
            <w:r>
              <w:rPr>
                <w:rFonts w:eastAsia="Aptos" w:cs="" w:ascii="Cambria" w:hAnsi="Cambria"/>
                <w:b/>
                <w:bCs/>
                <w:kern w:val="2"/>
                <w:lang w:val="pl-PL" w:eastAsia="en-US" w:bidi="ar-SA"/>
              </w:rPr>
            </w:r>
          </w:p>
          <w:p>
            <w:pPr>
              <w:pStyle w:val="Normal"/>
              <w:widowControl w:val="false"/>
              <w:suppressAutoHyphens w:val="true"/>
              <w:spacing w:lineRule="auto" w:line="259" w:before="0" w:after="0"/>
              <w:jc w:val="both"/>
              <w:rPr>
                <w:rFonts w:ascii="Cambria" w:hAnsi="Cambria"/>
                <w:lang w:eastAsia="en-US"/>
              </w:rPr>
            </w:pPr>
            <w:r>
              <w:rPr>
                <w:rFonts w:eastAsia="Aptos" w:cs="" w:ascii="Cambria" w:hAnsi="Cambria"/>
                <w:b/>
                <w:bCs/>
                <w:kern w:val="2"/>
                <w:lang w:val="pl-PL" w:eastAsia="en-US" w:bidi="ar-SA"/>
              </w:rPr>
            </w:r>
          </w:p>
          <w:p>
            <w:pPr>
              <w:pStyle w:val="Normal"/>
              <w:widowControl w:val="false"/>
              <w:suppressAutoHyphens w:val="true"/>
              <w:spacing w:lineRule="auto" w:line="259" w:before="0" w:after="0"/>
              <w:jc w:val="both"/>
              <w:rPr>
                <w:rFonts w:ascii="Cambria" w:hAnsi="Cambria"/>
                <w:lang w:eastAsia="en-US"/>
              </w:rPr>
            </w:pPr>
            <w:r>
              <w:rPr>
                <w:rFonts w:eastAsia="Aptos" w:cs="" w:ascii="Cambria" w:hAnsi="Cambria"/>
                <w:b/>
                <w:bCs/>
                <w:kern w:val="2"/>
                <w:lang w:val="pl-PL" w:eastAsia="en-US" w:bidi="ar-SA"/>
              </w:rPr>
            </w:r>
          </w:p>
          <w:p>
            <w:pPr>
              <w:pStyle w:val="Normal"/>
              <w:widowControl w:val="false"/>
              <w:suppressAutoHyphens w:val="true"/>
              <w:spacing w:lineRule="auto" w:line="259" w:before="0" w:after="0"/>
              <w:jc w:val="both"/>
              <w:rPr>
                <w:rFonts w:ascii="Cambria" w:hAnsi="Cambria"/>
                <w:lang w:eastAsia="en-US"/>
              </w:rPr>
            </w:pPr>
            <w:r>
              <w:rPr>
                <w:rFonts w:eastAsia="Aptos" w:cs="" w:ascii="Cambria" w:hAnsi="Cambria"/>
                <w:b/>
                <w:bCs/>
                <w:kern w:val="2"/>
                <w:lang w:val="pl-PL" w:eastAsia="en-US" w:bidi="ar-SA"/>
              </w:rPr>
            </w:r>
          </w:p>
        </w:tc>
      </w:tr>
    </w:tbl>
    <w:p>
      <w:pPr>
        <w:pStyle w:val="Normal"/>
        <w:widowControl w:val="false"/>
        <w:spacing w:lineRule="auto" w:line="240" w:before="280" w:after="280"/>
        <w:rPr>
          <w:rFonts w:ascii="Liberation Serif" w:hAnsi="Liberation Serif" w:eastAsia="SimSun" w:cs="Mangal"/>
          <w:kern w:val="2"/>
          <w:sz w:val="28"/>
          <w:szCs w:val="24"/>
          <w:lang w:bidi="hi-IN"/>
        </w:rPr>
      </w:pPr>
      <w:r>
        <w:rPr>
          <w:rFonts w:eastAsia="SimSun" w:cs="Mangal" w:ascii="Liberation Serif" w:hAnsi="Liberation Serif"/>
          <w:kern w:val="2"/>
          <w:sz w:val="16"/>
          <w:szCs w:val="16"/>
          <w:u w:val="single"/>
          <w:lang w:bidi="hi-IN"/>
        </w:rPr>
        <w:t xml:space="preserve">                                                                    </w:t>
      </w:r>
      <w:r>
        <w:rPr>
          <w:rFonts w:eastAsia="SimSun" w:cs="Mangal" w:ascii="Liberation Serif" w:hAnsi="Liberation Serif"/>
          <w:kern w:val="2"/>
          <w:sz w:val="16"/>
          <w:szCs w:val="16"/>
          <w:u w:val="single"/>
          <w:lang w:bidi="hi-IN"/>
        </w:rPr>
        <w:t>_____________________________</w:t>
      </w:r>
    </w:p>
    <w:p>
      <w:pPr>
        <w:pStyle w:val="LOnormal"/>
        <w:rPr>
          <w:rFonts w:ascii="Cambria" w:hAnsi="Cambria"/>
          <w:b/>
          <w:b/>
          <w:sz w:val="28"/>
        </w:rPr>
      </w:pPr>
      <w:r>
        <w:rPr/>
      </w:r>
    </w:p>
    <w:sectPr>
      <w:headerReference w:type="default" r:id="rId2"/>
      <w:footerReference w:type="default" r:id="rId3"/>
      <w:type w:val="continuous"/>
      <w:pgSz w:w="12240" w:h="15840"/>
      <w:pgMar w:left="851" w:right="758" w:header="708" w:top="1440" w:footer="0" w:bottom="567" w:gutter="0"/>
      <w:cols w:num="2" w:space="426"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w:charset w:val="ee"/>
    <w:family w:val="roman"/>
    <w:pitch w:val="variable"/>
  </w:font>
  <w:font w:name="Trebuchet MS">
    <w:charset w:val="ee"/>
    <w:family w:val="swiss"/>
    <w:pitch w:val="variable"/>
  </w:font>
  <w:font w:name="Segoe UI">
    <w:charset w:val="ee"/>
    <w:family w:val="roman"/>
    <w:pitch w:val="variable"/>
  </w:font>
  <w:font w:name="Liberation Sans">
    <w:altName w:val="Arial"/>
    <w:charset w:val="ee"/>
    <w:family w:val="swiss"/>
    <w:pitch w:val="variable"/>
  </w:font>
  <w:font w:name="Trebuchet MS">
    <w:charset w:val="ee"/>
    <w:family w:val="roman"/>
    <w:pitch w:val="variable"/>
  </w:font>
  <w:font w:name="Arial">
    <w:charset w:val="ee"/>
    <w:family w:val="roman"/>
    <w:pitch w:val="variable"/>
  </w:font>
  <w:font w:name="Cambri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64698877"/>
    </w:sdtPr>
    <w:sdtContent>
      <w:p>
        <w:pPr>
          <w:pStyle w:val="Stopka"/>
          <w:jc w:val="right"/>
          <w:rPr>
            <w:rFonts w:ascii="Cambria" w:hAnsi="Cambria" w:eastAsia="" w:cs="" w:cstheme="majorBidi" w:eastAsiaTheme="majorEastAsia"/>
            <w:sz w:val="16"/>
            <w:szCs w:val="16"/>
          </w:rPr>
        </w:pPr>
        <w:r>
          <w:rPr>
            <w:rFonts w:eastAsia="" w:cs="" w:ascii="Cambria" w:hAnsi="Cambria" w:cstheme="majorBidi" w:eastAsiaTheme="majorEastAsia"/>
            <w:sz w:val="16"/>
            <w:szCs w:val="16"/>
          </w:rPr>
          <w:t xml:space="preserve">str. </w:t>
        </w:r>
        <w:r>
          <w:rPr>
            <w:rFonts w:eastAsia="" w:cs="" w:ascii="Cambria" w:hAnsi="Cambria" w:cstheme="majorBidi" w:eastAsiaTheme="majorEastAsia"/>
            <w:sz w:val="16"/>
            <w:szCs w:val="16"/>
          </w:rPr>
          <w:fldChar w:fldCharType="begin"/>
        </w:r>
        <w:r>
          <w:rPr>
            <w:sz w:val="16"/>
            <w:szCs w:val="16"/>
            <w:rFonts w:eastAsia="" w:cs="" w:ascii="Cambria" w:hAnsi="Cambria"/>
          </w:rPr>
          <w:instrText> PAGE </w:instrText>
        </w:r>
        <w:r>
          <w:rPr>
            <w:sz w:val="16"/>
            <w:szCs w:val="16"/>
            <w:rFonts w:eastAsia="" w:cs="" w:ascii="Cambria" w:hAnsi="Cambria"/>
          </w:rPr>
          <w:fldChar w:fldCharType="separate"/>
        </w:r>
        <w:r>
          <w:rPr>
            <w:sz w:val="16"/>
            <w:szCs w:val="16"/>
            <w:rFonts w:eastAsia="" w:cs="" w:ascii="Cambria" w:hAnsi="Cambria"/>
          </w:rPr>
          <w:t>1</w:t>
        </w:r>
        <w:r>
          <w:rPr>
            <w:sz w:val="16"/>
            <w:szCs w:val="16"/>
            <w:rFonts w:eastAsia="" w:cs="" w:ascii="Cambria" w:hAnsi="Cambria"/>
          </w:rPr>
          <w:fldChar w:fldCharType="end"/>
        </w:r>
      </w:p>
    </w:sdtContent>
  </w:sdt>
  <w:p>
    <w:pPr>
      <w:pStyle w:val="Stopka"/>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spacing w:before="0" w:after="200"/>
      <w:rPr/>
    </w:pPr>
    <w:r>
      <w:rPr/>
      <w:drawing>
        <wp:anchor behindDoc="0" distT="0" distB="0" distL="0" distR="0" simplePos="0" locked="0" layoutInCell="0" allowOverlap="1" relativeHeight="2">
          <wp:simplePos x="0" y="0"/>
          <wp:positionH relativeFrom="column">
            <wp:posOffset>1905</wp:posOffset>
          </wp:positionH>
          <wp:positionV relativeFrom="paragraph">
            <wp:posOffset>-154305</wp:posOffset>
          </wp:positionV>
          <wp:extent cx="2214245" cy="443230"/>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1"/>
                  <a:stretch>
                    <a:fillRect/>
                  </a:stretch>
                </pic:blipFill>
                <pic:spPr bwMode="auto">
                  <a:xfrm>
                    <a:off x="0" y="0"/>
                    <a:ext cx="2214245" cy="44323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none"/>
      <w:suff w:val="nothing"/>
      <w:lvlText w:val=""/>
      <w:lvlJc w:val="left"/>
      <w:pPr>
        <w:tabs>
          <w:tab w:val="num" w:pos="0"/>
        </w:tabs>
        <w:ind w:left="0" w:hanging="0"/>
      </w:pPr>
    </w:lvl>
    <w:lvl w:ilvl="1">
      <w:start w:val="1"/>
      <w:pStyle w:val="Nagwek2"/>
      <w:numFmt w:val="none"/>
      <w:suff w:val="nothing"/>
      <w:lvlText w:val=""/>
      <w:lvlJc w:val="left"/>
      <w:pPr>
        <w:tabs>
          <w:tab w:val="num" w:pos="0"/>
        </w:tabs>
        <w:ind w:left="0" w:hanging="0"/>
      </w:pPr>
    </w:lvl>
    <w:lvl w:ilvl="2">
      <w:start w:val="1"/>
      <w:pStyle w:val="Nagwek3"/>
      <w:numFmt w:val="none"/>
      <w:suff w:val="nothing"/>
      <w:lvlText w:val=""/>
      <w:lvlJc w:val="left"/>
      <w:pPr>
        <w:tabs>
          <w:tab w:val="num" w:pos="0"/>
        </w:tabs>
        <w:ind w:left="0" w:hanging="0"/>
      </w:pPr>
    </w:lvl>
    <w:lvl w:ilvl="3">
      <w:start w:val="1"/>
      <w:pStyle w:val="Nagwek4"/>
      <w:numFmt w:val="none"/>
      <w:suff w:val="nothing"/>
      <w:lvlText w:val=""/>
      <w:lvlJc w:val="left"/>
      <w:pPr>
        <w:tabs>
          <w:tab w:val="num" w:pos="0"/>
        </w:tabs>
        <w:ind w:left="0" w:hanging="0"/>
      </w:pPr>
    </w:lvl>
    <w:lvl w:ilvl="4">
      <w:start w:val="1"/>
      <w:pStyle w:val="Nagwek5"/>
      <w:numFmt w:val="none"/>
      <w:suff w:val="nothing"/>
      <w:lvlText w:val=""/>
      <w:lvlJc w:val="left"/>
      <w:pPr>
        <w:tabs>
          <w:tab w:val="num" w:pos="0"/>
        </w:tabs>
        <w:ind w:left="0" w:hanging="0"/>
      </w:pPr>
    </w:lvl>
    <w:lvl w:ilvl="5">
      <w:start w:val="1"/>
      <w:pStyle w:val="Nagwek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val="false"/>
        <w:bCs w:val="fals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Times New Roman" w:cs="Times New Roman"/>
      <w:color w:val="auto"/>
      <w:kern w:val="0"/>
      <w:sz w:val="22"/>
      <w:szCs w:val="22"/>
      <w:lang w:eastAsia="zh-CN" w:val="pl-PL" w:bidi="ar-SA"/>
    </w:rPr>
  </w:style>
  <w:style w:type="paragraph" w:styleId="Nagwek1">
    <w:name w:val="Heading 1"/>
    <w:basedOn w:val="LOnormal"/>
    <w:next w:val="LOnormal"/>
    <w:qFormat/>
    <w:pPr>
      <w:numPr>
        <w:ilvl w:val="0"/>
        <w:numId w:val="1"/>
      </w:numPr>
      <w:spacing w:before="200" w:after="120"/>
      <w:contextualSpacing/>
      <w:outlineLvl w:val="0"/>
    </w:pPr>
    <w:rPr>
      <w:rFonts w:ascii="Trebuchet MS" w:hAnsi="Trebuchet MS" w:eastAsia="Trebuchet MS" w:cs="Trebuchet MS"/>
      <w:sz w:val="32"/>
    </w:rPr>
  </w:style>
  <w:style w:type="paragraph" w:styleId="Nagwek2">
    <w:name w:val="Heading 2"/>
    <w:basedOn w:val="LOnormal"/>
    <w:next w:val="LOnormal"/>
    <w:qFormat/>
    <w:pPr>
      <w:numPr>
        <w:ilvl w:val="1"/>
        <w:numId w:val="1"/>
      </w:numPr>
      <w:spacing w:before="200" w:after="120"/>
      <w:contextualSpacing/>
      <w:outlineLvl w:val="1"/>
    </w:pPr>
    <w:rPr>
      <w:rFonts w:ascii="Trebuchet MS" w:hAnsi="Trebuchet MS" w:eastAsia="Trebuchet MS" w:cs="Trebuchet MS"/>
      <w:b/>
      <w:sz w:val="26"/>
    </w:rPr>
  </w:style>
  <w:style w:type="paragraph" w:styleId="Nagwek3">
    <w:name w:val="Heading 3"/>
    <w:basedOn w:val="LOnormal"/>
    <w:next w:val="LOnormal"/>
    <w:qFormat/>
    <w:pPr>
      <w:numPr>
        <w:ilvl w:val="2"/>
        <w:numId w:val="1"/>
      </w:numPr>
      <w:spacing w:before="160" w:after="120"/>
      <w:contextualSpacing/>
      <w:outlineLvl w:val="2"/>
    </w:pPr>
    <w:rPr>
      <w:rFonts w:ascii="Trebuchet MS" w:hAnsi="Trebuchet MS" w:eastAsia="Trebuchet MS" w:cs="Trebuchet MS"/>
      <w:b/>
      <w:color w:val="666666"/>
      <w:sz w:val="24"/>
    </w:rPr>
  </w:style>
  <w:style w:type="paragraph" w:styleId="Nagwek4">
    <w:name w:val="Heading 4"/>
    <w:basedOn w:val="LOnormal"/>
    <w:next w:val="LOnormal"/>
    <w:qFormat/>
    <w:pPr>
      <w:numPr>
        <w:ilvl w:val="3"/>
        <w:numId w:val="1"/>
      </w:numPr>
      <w:spacing w:before="160" w:after="120"/>
      <w:contextualSpacing/>
      <w:outlineLvl w:val="3"/>
    </w:pPr>
    <w:rPr>
      <w:rFonts w:ascii="Trebuchet MS" w:hAnsi="Trebuchet MS" w:eastAsia="Trebuchet MS" w:cs="Trebuchet MS"/>
      <w:color w:val="666666"/>
      <w:u w:val="single"/>
    </w:rPr>
  </w:style>
  <w:style w:type="paragraph" w:styleId="Nagwek5">
    <w:name w:val="Heading 5"/>
    <w:basedOn w:val="LOnormal"/>
    <w:next w:val="LOnormal"/>
    <w:qFormat/>
    <w:pPr>
      <w:numPr>
        <w:ilvl w:val="4"/>
        <w:numId w:val="1"/>
      </w:numPr>
      <w:spacing w:before="160" w:after="120"/>
      <w:contextualSpacing/>
      <w:outlineLvl w:val="4"/>
    </w:pPr>
    <w:rPr>
      <w:rFonts w:ascii="Trebuchet MS" w:hAnsi="Trebuchet MS" w:eastAsia="Trebuchet MS" w:cs="Trebuchet MS"/>
      <w:color w:val="666666"/>
    </w:rPr>
  </w:style>
  <w:style w:type="paragraph" w:styleId="Nagwek6">
    <w:name w:val="Heading 6"/>
    <w:basedOn w:val="LOnormal"/>
    <w:next w:val="LOnormal"/>
    <w:qFormat/>
    <w:pPr>
      <w:numPr>
        <w:ilvl w:val="5"/>
        <w:numId w:val="1"/>
      </w:numPr>
      <w:spacing w:before="160" w:after="120"/>
      <w:contextualSpacing/>
      <w:outlineLvl w:val="5"/>
    </w:pPr>
    <w:rPr>
      <w:rFonts w:ascii="Trebuchet MS" w:hAnsi="Trebuchet MS" w:eastAsia="Trebuchet MS" w:cs="Trebuchet MS"/>
      <w:i/>
      <w:color w:val="666666"/>
    </w:rPr>
  </w:style>
  <w:style w:type="character" w:styleId="DefaultParagraphFont" w:default="1">
    <w:name w:val="Default Paragraph Font"/>
    <w:uiPriority w:val="1"/>
    <w:semiHidden/>
    <w:unhideWhenUsed/>
    <w:qFormat/>
    <w:rPr/>
  </w:style>
  <w:style w:type="character" w:styleId="Domylnaczcionkaakapitu1" w:customStyle="1">
    <w:name w:val="Domyślna czcionka akapitu1"/>
    <w:qFormat/>
    <w:rPr/>
  </w:style>
  <w:style w:type="character" w:styleId="TekstdymkaZnak" w:customStyle="1">
    <w:name w:val="Tekst dymka Znak"/>
    <w:qFormat/>
    <w:rPr>
      <w:rFonts w:ascii="Segoe UI" w:hAnsi="Segoe UI" w:cs="Segoe UI"/>
      <w:sz w:val="18"/>
      <w:szCs w:val="18"/>
    </w:rPr>
  </w:style>
  <w:style w:type="character" w:styleId="NagwekZnak" w:customStyle="1">
    <w:name w:val="Nagłówek Znak"/>
    <w:basedOn w:val="DefaultParagraphFont"/>
    <w:link w:val="Nagwek"/>
    <w:uiPriority w:val="99"/>
    <w:qFormat/>
    <w:rsid w:val="00901971"/>
    <w:rPr>
      <w:rFonts w:ascii="Calibri" w:hAnsi="Calibri"/>
      <w:sz w:val="22"/>
      <w:szCs w:val="22"/>
      <w:lang w:eastAsia="zh-CN"/>
    </w:rPr>
  </w:style>
  <w:style w:type="character" w:styleId="StopkaZnak" w:customStyle="1">
    <w:name w:val="Stopka Znak"/>
    <w:basedOn w:val="DefaultParagraphFont"/>
    <w:link w:val="Stopka"/>
    <w:uiPriority w:val="99"/>
    <w:qFormat/>
    <w:rsid w:val="00507f3d"/>
    <w:rPr>
      <w:rFonts w:ascii="Calibri" w:hAnsi="Calibri"/>
      <w:sz w:val="22"/>
      <w:szCs w:val="22"/>
      <w:lang w:eastAsia="zh-CN"/>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suppressLineNumbers/>
      <w:tabs>
        <w:tab w:val="clear" w:pos="720"/>
        <w:tab w:val="center" w:pos="4819" w:leader="none"/>
        <w:tab w:val="right" w:pos="9638" w:leader="none"/>
      </w:tabs>
    </w:pPr>
    <w:rPr/>
  </w:style>
  <w:style w:type="paragraph" w:styleId="Gwka">
    <w:name w:val="Header"/>
    <w:basedOn w:val="Normal"/>
    <w:next w:val="Tretekstu"/>
    <w:link w:val="NagwekZnak"/>
    <w:uiPriority w:val="99"/>
    <w:unhideWhenUsed/>
    <w:rsid w:val="00901971"/>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Arial"/>
      <w:i/>
      <w:iCs/>
      <w:sz w:val="24"/>
      <w:szCs w:val="24"/>
    </w:rPr>
  </w:style>
  <w:style w:type="paragraph" w:styleId="Nagwek11" w:customStyle="1">
    <w:name w:val="Nagłówek1"/>
    <w:basedOn w:val="LOnormal"/>
    <w:next w:val="LOnormal"/>
    <w:qFormat/>
    <w:pPr>
      <w:spacing w:before="0" w:after="0"/>
      <w:contextualSpacing/>
    </w:pPr>
    <w:rPr>
      <w:rFonts w:ascii="Trebuchet MS" w:hAnsi="Trebuchet MS" w:eastAsia="Trebuchet MS" w:cs="Trebuchet MS"/>
      <w:sz w:val="42"/>
    </w:rPr>
  </w:style>
  <w:style w:type="paragraph" w:styleId="LOnormal" w:customStyle="1">
    <w:name w:val="LO-normal"/>
    <w:qFormat/>
    <w:pPr>
      <w:widowControl/>
      <w:suppressAutoHyphens w:val="true"/>
      <w:bidi w:val="0"/>
      <w:spacing w:lineRule="auto" w:line="276" w:before="0" w:after="0"/>
      <w:jc w:val="left"/>
    </w:pPr>
    <w:rPr>
      <w:rFonts w:ascii="Arial" w:hAnsi="Arial" w:eastAsia="Arial" w:cs="Arial"/>
      <w:color w:val="000000"/>
      <w:kern w:val="0"/>
      <w:sz w:val="22"/>
      <w:szCs w:val="22"/>
      <w:lang w:eastAsia="zh-CN" w:val="pl-PL" w:bidi="ar-SA"/>
    </w:rPr>
  </w:style>
  <w:style w:type="paragraph" w:styleId="Podtytu">
    <w:name w:val="Subtitle"/>
    <w:basedOn w:val="LOnormal"/>
    <w:next w:val="LOnormal"/>
    <w:qFormat/>
    <w:pPr>
      <w:spacing w:before="0" w:after="200"/>
      <w:contextualSpacing/>
    </w:pPr>
    <w:rPr>
      <w:rFonts w:ascii="Trebuchet MS" w:hAnsi="Trebuchet MS" w:eastAsia="Trebuchet MS" w:cs="Trebuchet MS"/>
      <w:i/>
      <w:color w:val="666666"/>
      <w:sz w:val="26"/>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Stopka">
    <w:name w:val="Footer"/>
    <w:basedOn w:val="Gwkaistopka"/>
    <w:link w:val="StopkaZnak"/>
    <w:uiPriority w:val="99"/>
    <w:pPr/>
    <w:rPr/>
  </w:style>
  <w:style w:type="paragraph" w:styleId="Standard" w:customStyle="1">
    <w:name w:val="Standard"/>
    <w:qFormat/>
    <w:rsid w:val="00901971"/>
    <w:pPr>
      <w:widowControl w:val="false"/>
      <w:suppressAutoHyphens w:val="true"/>
      <w:bidi w:val="0"/>
      <w:spacing w:before="0" w:after="0"/>
      <w:jc w:val="left"/>
      <w:textAlignment w:val="baseline"/>
    </w:pPr>
    <w:rPr>
      <w:rFonts w:eastAsia="SimSun" w:cs="Mangal" w:ascii="Times New Roman" w:hAnsi="Times New Roman"/>
      <w:color w:val="auto"/>
      <w:kern w:val="2"/>
      <w:sz w:val="28"/>
      <w:szCs w:val="24"/>
      <w:lang w:eastAsia="zh-CN" w:bidi="hi-IN" w:val="pl-PL"/>
    </w:rPr>
  </w:style>
  <w:style w:type="paragraph" w:styleId="ListParagraph">
    <w:name w:val="List Paragraph"/>
    <w:basedOn w:val="Normal"/>
    <w:uiPriority w:val="34"/>
    <w:qFormat/>
    <w:rsid w:val="008e386e"/>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Zwykatabela1">
    <w:name w:val="Plain Table 1"/>
    <w:basedOn w:val="Standardowy"/>
    <w:uiPriority w:val="41"/>
    <w:rsid w:val="00de04ab"/>
    <w:rPr>
      <w:rFonts w:asciiTheme="minorHAnsi" w:hAnsiTheme="minorHAnsi" w:eastAsiaTheme="minorHAnsi" w:cstheme="minorBidi"/>
      <w:lang w:eastAsia="en-US"/>
      <w:sz w:val="24"/>
      <w:szCs w:val="24"/>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blStylePr w:type="firstRow">
      <w:rPr>
        <w:b/>
        <w:bCs/>
      </w:rPr>
      <w:tblPr/>
    </w:tblStylePr>
    <w:tblStylePr w:type="lastRow">
      <w:rPr>
        <w:b/>
        <w:bCs/>
      </w:rPr>
      <w:tblPr/>
      <w:tcPr>
        <w:tcBorders>
          <w:top w:val="double" w:color="FFFFF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1">
    <w:name w:val="Zwykła tabela 11"/>
    <w:basedOn w:val="Standardowy"/>
    <w:uiPriority w:val="41"/>
    <w:rsid w:val="003c3966"/>
    <w:rPr>
      <w:rFonts w:asciiTheme="minorHAnsi" w:hAnsiTheme="minorHAnsi" w:eastAsiaTheme="minorHAnsi" w:cstheme="minorBidi"/>
      <w:lang w:eastAsia="en-US"/>
      <w:sz w:val="24"/>
      <w:szCs w:val="24"/>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blStylePr w:type="firstRow">
      <w:rPr>
        <w:b/>
        <w:bCs/>
      </w:rPr>
      <w:tblPr/>
    </w:tblStylePr>
    <w:tblStylePr w:type="lastRow">
      <w:rPr>
        <w:b/>
        <w:bCs/>
      </w:rPr>
      <w:tblPr/>
      <w:tcPr>
        <w:tcBorders>
          <w:top w:val="double" w:color="FFFFF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LibreOffice/7.1.0.3$Windows_X86_64 LibreOffice_project/f6099ecf3d29644b5008cc8f48f42f4a40986e4c</Application>
  <AppVersion>15.0000</AppVersion>
  <Pages>3</Pages>
  <Words>1647</Words>
  <Characters>11154</Characters>
  <CharactersWithSpaces>12776</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2024-04-02T11:50:00Z</dcterms:created>
  <dc:creator>MK</dc:creator>
  <dc:description/>
  <dc:language>pl-PL</dc:language>
  <cp:lastModifiedBy/>
  <cp:lastPrinted>2024-03-12T11:09:00Z</cp:lastPrinted>
  <dcterms:modified xsi:type="dcterms:W3CDTF">2024-04-02T15:35:29Z</dcterms:modified>
  <cp:revision>4</cp:revision>
  <dc:subject/>
  <dc:title>Protokół odbioru dzieła - wzór.docx</dc:title>
</cp:coreProperties>
</file>

<file path=docProps/custom.xml><?xml version="1.0" encoding="utf-8"?>
<Properties xmlns="http://schemas.openxmlformats.org/officeDocument/2006/custom-properties" xmlns:vt="http://schemas.openxmlformats.org/officeDocument/2006/docPropsVTypes"/>
</file>